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марта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«Ремонт и строительство сетей «ПР и СС»</w:t>
      </w:r>
      <w:r w:rsidR="00B9210B" w:rsidRPr="00241327">
        <w:rPr>
          <w:sz w:val="22"/>
          <w:szCs w:val="22"/>
          <w:lang w:val="en-US"/>
        </w:rPr>
        <w:t xml:space="preserve"> (ОГРН 1194704009884,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4725006039)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Pr="00496A50">
        <w:rPr>
          <w:sz w:val="22"/>
          <w:szCs w:val="22"/>
        </w:rPr>
        <w:t xml:space="preserve"> (ОГРН 1194704009884,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4725006039)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Pr="00823293">
        <w:rPr>
          <w:sz w:val="22"/>
          <w:szCs w:val="22"/>
        </w:rPr>
        <w:t xml:space="preserve"> (ОГРН 1194704009884, ИНН 4725006039)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марта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