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сентября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635EDF7B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«Горжилпроект»</w:t>
      </w:r>
      <w:r w:rsidR="00B9210B" w:rsidRPr="00241327">
        <w:rPr>
          <w:sz w:val="22"/>
          <w:szCs w:val="22"/>
          <w:lang w:val="en-US"/>
        </w:rPr>
        <w:t xml:space="preserve"> (ОГРН 1025402466836,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5406220736)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«Горжилпроект»</w:t>
      </w:r>
      <w:r w:rsidRPr="00496A50">
        <w:rPr>
          <w:sz w:val="22"/>
          <w:szCs w:val="22"/>
        </w:rPr>
        <w:t xml:space="preserve"> (ОГРН 1025402466836,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5406220736)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«Горжилпроект»</w:t>
      </w:r>
      <w:r w:rsidRPr="00823293">
        <w:rPr>
          <w:sz w:val="22"/>
          <w:szCs w:val="22"/>
        </w:rPr>
        <w:t xml:space="preserve"> (ОГРН 1025402466836, ИНН 5406220736)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«ДРУЗА»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1133926006741,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3906288560)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Право 2017, на основании пп. 3 п. 15 ст. 55.8 Градостроительного кодекса РФ.</w:t>
      </w:r>
    </w:p>
    <w:p w14:paraId="05770F6E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439797F3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«ДРУЗА»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1133926006741,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3906288560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29AD11F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6F96EC4C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сентября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