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«Электротехническая лаборатория Волгоэксперт»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1103460009300,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3445114569)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«СпецДизайнСтрой»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1083459008160,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3442101787)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05.06.2017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