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09 февраля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3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«С-Комплект»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5067847127090,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7801411936)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«Гелиос-ЭМ»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1072204016873,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2204031603)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«СтройСервис»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5067847180088,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7801413556)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 ПО ПРОЕКТИРОВАНИЮ ОБЪЕКТОВ ВОДОХОЗЯЙСТВЕННОГО И МЕЛИОРАТИВНОГО НАЗНАЧЕНИЯ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1022201511463,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2224000748)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«Алтайводстрой»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1072223002390,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2223058015)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«БАЗИС»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1082224003487,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2224121823)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09 февраля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