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«ЮГ-Гидрострой»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1096164002615,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6164290130)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1089847353672,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7841394780)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«Подъем Мост-Сервис»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1027201234367,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7217001066)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«Гипропроект-Инжиниринг»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1087232017795,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7203215974)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1027802765275,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7805132997)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1023403462279,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3444003055)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«Жилсервис»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1065472012077,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5443001394)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«Ишимстройпроектзаказ»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1027201231584,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7205005122)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«БетонСпецСтрой»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1076670038345,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6670196543)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«Созидание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1025002691889,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5021003001)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1037821045900,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7810282726)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