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Железногорское управление строитель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240122726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45202797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4-2452027971-18022010-35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Железногорское управление строительст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240122726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45202797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Объединенная Промышленная Групп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513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3753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37531-18022010-33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Объединенная Промышленная Групп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513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3753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ентиляционные Инженерные Систем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326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37443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9374433-18022010-34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ентиляционные Инженерные Систем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326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37443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