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 - СК»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1113443009756,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3443112936)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28.03.2014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«Донпроектэлектро»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1026102223740,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6150010680)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27.03.2014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