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января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«Экосервис»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1021100896728,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1106013442)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«Институт проектирования, реконструкции и реставрации объектов городской среды «Тюменьпроект»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1037200580328,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7202113779)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«Творческая архитектурная мастерская Левханьяна» - «Капитель»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1027810322044,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7826701161)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П-098-7826701161-21012010-042/2,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«Творческая архитектурная мастерская Левханьяна» - «Капитель»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1027810322044,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7826701161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«ЮгКаркасПроект»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1026103275197,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6165076299)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П-061-6165076299-11022010-096/5,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«ЮгКаркасПроект»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1026103275197,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6165076299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«Производственное строительно-монтажное объединение «АМПИР»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1077847409078,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7807324310)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П-098-7807324310-11022010-098/4,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«Производственное строительно-монтажное объединение «АМПИР»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1077847409078,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7807324310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января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