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ерус-Э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040049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40603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Фасад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550010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030274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03027459-03092010-71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Фасад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4550010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030274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хнологии и Реконструкция Сете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19341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4667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46678-15072011-84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хнологии и Реконструкция Сете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19341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4667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5110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1997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6419977-09122009-030/7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5110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1997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ЛИСИ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8103073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2724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027243-09122009-027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ЛИСИ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78103073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2724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хнологии МеталлоКонструкци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784718338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45445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6454450-20062012-912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хнологии МеталлоКонструкци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784718338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45445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