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тву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9080024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517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абрика обоев «Прима Италия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269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800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электр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74001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267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72678-25022010-3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Югэлектро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74001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7267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К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11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16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401655-18022010-34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К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11313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4016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РАНД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30035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74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968744-18022010-34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РАНД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30035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96874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Тех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256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30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73026-04022010-23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Тех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256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30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вые Технологии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4863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575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57519-18022010-33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вые Технологии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48632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575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