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13/2013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марта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«Газэнергомонтаж»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1025501594711,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5515010062)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«Волгоградпромстрой»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1053444068886,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3444123578)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04.03.2013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марта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