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«Усинский нефтеперерабатывающий завод»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1051100788650,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1106019606)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«СТРОЙТРАНС»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1069847504198,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7810081561)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«Наружные трубопроводы»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1026602949977,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6659080224)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«СоюзПетроСервис»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1047839012869,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7840014890)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Муниципальное казенное учреждение «Служба заказчика Зеленоградского района»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1053909026082,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3918027065)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«МК-Альянс»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1079847050524,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7813367199)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«Технадзор»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1066164174570,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6164248604)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«Искитимспецмонтаж»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1115483001182,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5446013133)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«Научно-производственное предприятие «ТЕЛЕКС Линия Трудовых Династий»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1036604392461,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6662007834)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2.10.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«Северо-Западная Теплоэнергетическая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1063906075639,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3906151646)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компания «Кредо»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1086164009986,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6164283849)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«Ремонтно-Строительное Управление «МАСТЕР»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1099847022912,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7813459795)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«Всевлесстрой»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1034700557000,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4703062174)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«ДонЕвроСтрой»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1066150029659,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6150052552)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Научно-производственное объединение «ОРИОН - АКВА»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1035402456407,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5406154667)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«БСК-плюс»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1083925012786,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3904601515)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«Енисей»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1025202195941,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5254022399)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«ИнвестСтрой»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1077847599917,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7816423814)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2.19.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Монтажная Компания «Гранит»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1092302002099,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2302062230)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2.20.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«СтройТон-М»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1072302000550,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2302054366)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«Северо-Кавказский Завод Металлоконструкций»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1082357000241,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2357006876)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24.12.2012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