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«Барнаульская строительная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1122224003780,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2224154226)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1047855153378,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7838310691)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1107847019895,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7841419970)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«Биллион»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1115476012244,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5404430061)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«СЭМ-Волгоград»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1123444000976,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3444192099)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>И. О. </w:t>
      </w:r>
      <w:proofErr w:type="spellStart"/>
      <w:r w:rsidRPr="003840A8">
        <w:rPr>
          <w:sz w:val="22"/>
          <w:szCs w:val="22"/>
          <w:lang w:val="en-US"/>
        </w:rPr>
        <w:t>Председателя</w:t>
      </w:r>
      <w:proofErr w:type="spellEnd"/>
      <w:r w:rsidRPr="003840A8">
        <w:rPr>
          <w:sz w:val="22"/>
          <w:szCs w:val="22"/>
          <w:lang w:val="en-US"/>
        </w:rPr>
        <w:t>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