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6150062198)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«Евроинвест»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1025900525573,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5902189963)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1092224006071,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2224136682)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«Пинека инжиниринг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1123926047266,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3912503046)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«Бранвен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1103925015523,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3906218957)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«Галактика»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1089847247511,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7801472520)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