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техн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009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460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11030008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10304332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