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«МегаСтрой»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1089847317780,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7816448382)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«Меркурьев и 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1065917002469,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5917593209)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«Энергоремонт»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1073435007117,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3435089070)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«Логран»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1115476059346,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5406670164)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«ВАНТ»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1056154022066,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6154095613)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«Гарантия»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1065405135432,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5405330133)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«Региональный Инженерный Центр»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1076166000085,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6166059828)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1095401000628,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5401320945)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2.9.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«Спецсигнализация»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1085407014098,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5407053848)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2.10.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Компания «Монолит»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1092223010043,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2223573672)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Строительно-Производственная Компания «АрмСибСтрой»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1085401022827,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5401317847)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«ОБРАКС СБМ Групп»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5077746796860,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7718645255)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«Дельта-сервис»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5067847100503,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7806339673)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