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ант-С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60079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525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Новосибирский завод искусственного волок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479229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1021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ибирская пер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14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14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ВОЛИТ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1843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37788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ородские инженерные систем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45905185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08500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ородское проектно-эксплуатационное бюр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34004155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0662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еостэ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339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4266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С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54300955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12324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