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13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5029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589456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86605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лгоНефтеГазАвтома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4300137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34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дро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503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951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020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44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60168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267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о-промышленн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540639274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33391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4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