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«Институт проектирования, реконструкции и реставрации объектов городской среды «Тюменьпроект»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1037200580328,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7202113779)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 РКС»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1027804606521,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7807041343)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«М29»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1089848058410,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7805478843)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