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40135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671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Скад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99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36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К «Анк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6280000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280544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ГЕРМЕТСТРОЙ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776321044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714720952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0.01.2012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Импульс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2224006325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224123980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1.01.2012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1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