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48/2010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06 августа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«Петроэнергострой»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1089848015333,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7810534853)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«АВС-КЛИМАТ»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5067847542109,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7810079837)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
          Общество с ограниченной ответственностью научно-производственная фирма
          <w:br/>
          «Экотранс»
        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1027804898835,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7810654413)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«Научно-производственное объединение по проектированию и инженерно-строительным изысканиям для объектов Нефтегазовых комплексов»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1020400737807,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0411099370)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«Метрикс»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1089847166232,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7801467576)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3.2.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«Империя тепла, комфорта и уюта»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1095403012858,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5403234956)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06 августа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