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1103455001000,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3403027459)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«Тепломонтажное управление №6»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1087746494780,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7710714066)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«СВК-строй»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1079847004478,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7811362893)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1083443006789,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3443088592)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5001036552)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