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«Строительная компания ПРОФЛАЙН»</w:t>
      </w:r>
      <w:r w:rsidR="00B9210B" w:rsidRPr="00241327">
        <w:rPr>
          <w:sz w:val="22"/>
          <w:szCs w:val="22"/>
          <w:lang w:val="en-US"/>
        </w:rPr>
        <w:t xml:space="preserve"> (ОГРН 1147847030319,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7814600257)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«Строительная компания ПРОФЛАЙН»</w:t>
      </w:r>
      <w:r w:rsidRPr="00496A50">
        <w:rPr>
          <w:sz w:val="22"/>
          <w:szCs w:val="22"/>
        </w:rPr>
        <w:t xml:space="preserve"> (ОГРН 1147847030319,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7814600257)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«Строительная компания ПРОФЛАЙН»</w:t>
      </w:r>
      <w:r w:rsidRPr="00823293">
        <w:rPr>
          <w:sz w:val="22"/>
          <w:szCs w:val="22"/>
        </w:rPr>
        <w:t xml:space="preserve"> (ОГРН 1147847030319, ИНН 7814600257)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