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18/2022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11 июля 2022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="00496A50" w:rsidRPr="00496A50">
        <w:rPr>
          <w:sz w:val="22"/>
          <w:szCs w:val="22"/>
          <w:lang w:val="en-US"/>
        </w:rPr>
        <w:t>6 (Шесть)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 xml:space="preserve">Об установлении уровней ответственности члена Ассоциации по обязательствам по договорам </w:t>
      </w:r>
      <w:r w:rsidR="00F557AF" w:rsidRPr="00241327">
        <w:rPr>
          <w:sz w:val="22"/>
          <w:szCs w:val="22"/>
        </w:rPr>
        <w:t>подряда на подготовку проектной документации</w:t>
      </w:r>
      <w:r w:rsidR="00250E07" w:rsidRPr="00250E07">
        <w:rPr>
          <w:sz w:val="22"/>
          <w:szCs w:val="22"/>
        </w:rPr>
        <w:t>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9880D07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«Ремонт и строительство сетей «ПР и СС»</w:t>
      </w:r>
      <w:r w:rsidR="0064112E" w:rsidRPr="00997C4A">
        <w:rPr>
          <w:sz w:val="22"/>
          <w:szCs w:val="22"/>
        </w:rPr>
        <w:t xml:space="preserve"> (ОГРН 1194704009884,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4725006039)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11 июля 2022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