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7810075536)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1092452000024,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2452036140)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«АгроСтройВолгоград»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1103443005490,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3443101490)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