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«НОСТРУМ»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1127847078710,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«Альфа»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7814191325)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«Нострум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1127847077951,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7802778373)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1157847091555,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7814191276)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«Реут-Климат»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1053900018336,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3905063700)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05.04.2017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Открытого акционерного общества «Анапа 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1112301009006,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2301078639)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669 от 31.03.2017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Открытого акционерного общества «Анапа 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1112301009006,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2301078639)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669 от 31.03.2017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Открытым акционерным обществом «Анапа 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1112301009006,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2301078639)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