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1025404790036,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5446112487)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«Югстроймонтаж»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1036164016250,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6164213672)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1092224006071,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2224136682)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«Зеленое хозяйство»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1026101939962,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6143048097)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«Юг-Полимер-Строй»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1076150000024,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6150052802)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«МБК-Строй»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1066164206790,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6164257711)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«ЮГСПЕЦИНЖСТРОЙ»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1146195005351,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6167125456)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«Партнер»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1106179000267,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6108007980)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1025403222130,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5404151283)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«Кредо»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1086164009986,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6164283849)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«Евроинвест»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1025900525573,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5902189963)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1152225001500,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2225156089)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1092223009944,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2223573619)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«Контур»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1026103745744,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6165038737)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«Евроазия»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1082635004980,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2634080419)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01.12.2016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1096183003388,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6150061229)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02.12.2016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2224120058)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3736 от 29.11.2016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«СвязьСтройПроект»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1082224000561,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2224120058)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3736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«СвязьСтройПроект»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1082224000561,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2224120058)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1026101937245,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6143037754)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3293 от 15.11.2016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«ДОНТРАСТ»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1026101937245,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6143037754)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3963 от 29.11.2016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«ДОНТРАСТ»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1026101937245,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6143037754)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