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6.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«ГрадоСтрой»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1163926060440,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3917043970)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«Кристалл»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1063458019800,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3426011470)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1133443018125,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3443922835)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«Путеец»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1082224011462,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2224128427)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Торговая Компания «ГАЗ-Сервис»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1115485000223,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5452115479)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«МЕГАПОЛИС»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1077847135651,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7813372230)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29.04.2016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«СтройТон-М»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1072302000550,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2302054366)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С-023-2302054366-04022010-254/3,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«СтройТон-М»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1072302000550,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2302054366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6.1.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«ВолгоПромМонтаж»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1073444011200,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3444151800)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С-034-3444151800-19032010-423/4,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