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 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1089847024046,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7807331557)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«Владивостокская Строительно-эксплуатационная компания»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1062536046990,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2536174644)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28.01.2011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28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