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1096166000116,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6166068501)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«БАЗИС»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1087847010426,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7841399996)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«Юг-Стройпроект»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1076150005832,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6150050724)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1086150000496,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6150055930)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«ЮгЭнергоРесурс»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1076150002114,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6150053940)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«СтройСпецГарант»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1083925001720,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3923500015)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«Строй-Оптима»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1082221003700,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2221133595)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1083461004098,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3448045137)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