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1137847041837,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«Клинлайн»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1037832048429,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7814148545)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1047796917420,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7722532078)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«МК-Альянс»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1079847050524,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7813367199)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«Техносвет-Сервис»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1057813001355,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7810044305)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«ЭКСПОСТРОЙ»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1037800092670,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7801239403)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«Строй-Авангард»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1089847343101,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7804398715)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«СТРОЙ-БАЛТ»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7811422126)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1066164174570,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«Южгеология»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1056164302138,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6164243518)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