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«ИТ-Регион»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1064705010116,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4705031326)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«ИТ-Проекты»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1076150006316,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6150051171)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1095401012464,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5401332570)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«Рэйс-Коммуникейшн»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1065047070065,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5047080378)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«Грант-СБ»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1056166007920,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6166052597)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«ИМПУЛЬС-ЭНЕРГЕТИЧЕСКИЕ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1085024000038,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5024093194)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Копычину-Лоренса Сергея Максимовича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305390611500011,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390603930481)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