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18/2009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21 декабря 2009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«СПК Аква-Вива»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1077847232605,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7804359963)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«Строительная Компания «Возрождение»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1097847222142,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7801500223)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 по комплексному проектированию объектов жилищно-гражданского назначения «Институт Гомельгражданпроект»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400011073,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400011073)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«Компания «ЭРФИКС»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1027810260928,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7826675320)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«НьюКом Групп»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1089847372185,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7841395423)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2.6.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«Производственное объединение «Управление строительными проектами»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1047803009792,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7802229398)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21 декабря 2009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