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1085404024738,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5404371063)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 Энерго Строй 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1083460004022,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3446030470)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«Визир»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1107746816539,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7724762937)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«СТРОЙПРАКТИКА»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1077762491982,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7724639813)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«Корпорация ЛенАэроПроект»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1077847635546,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7839367404)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«СтройГАЗ-Проект»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1062224062504,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2224101496)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1082221002137,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2221132087)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«ЭКОИНЖИНИРИНГ»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5067847138486,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7801412344)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7804402425)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«ИНТЕГРИРОВАННЫЕ СИСТЕМЫ БЕЗОПАСНОСТИ»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1069847129747,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7811343026)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«ГЕО-Инжиниринг»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1077847427855,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7816416158)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«ТехСтройСвязь»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1085401004480,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5401305129)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фирма «ДомИнвестСтрой»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1076027010036,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6027108362)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«ИТ Сети»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5067847575714,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7838368758)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1102204000733,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2245004341)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«Исток»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1026102061941,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6145005966)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1022201511463,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2224000748)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«ЭКОпроект»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1077203008244,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7202159011)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30.12.2010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30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