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«Фасадстрой»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1037811019091,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7805234702)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«Финансово-строительная компания Омега»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1052202168138,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2224092234)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«Стройхитпроект»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1089847151580,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7805459174)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«Мегаполис»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1087232031633,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7202188630)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«МДК»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1095407012800,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5407068690)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«БиэМ»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5067847296226,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7810072133)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«Санкт-Петербургская Электромонтажная 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1077847567115,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7804370170)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«ИСКРА»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1037800063223,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7801202393)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«Невское»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1027806077265,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7825688172)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«НОВОСИБИРСКСТРОЙКОМПЛЕКС»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1085407018729,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5407057112)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1073435007117,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3435089070)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«Фирма «ЭФФЕКТ»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1074712001320,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4712125293)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1099847002408,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7816476421)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Кволит»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1079847129053,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7804378268)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108984805100,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7804405000)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«Стройконтакт»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1026000900232,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6025012440)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«Волгоградремстройсервис»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1023444287734,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3447019180)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«ВентЭк»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1076672035615,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6672246091)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«РемСтройСталь»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1073460006840,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3446024438)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«Сервис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1077451020283,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7451250292)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строительно-монтажное объединение «АМПИР»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1077847409078,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7807324310)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1062225020725,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2225079250)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«ИНВЕСТИЦИИ – КОМПЛЕКТ -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1057747370383,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7704561968)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«Агро-Сервис»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1095908000594,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5908043015)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«КЕМИ»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1025001632590,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5013029599)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«Реут-Климат»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1053900018336,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3905063700)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1027402542012,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7448000180)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«Элитстрой-Чемал»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1080411004960,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0411139866)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«Научно-Производственное Предприятие «Контэк»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1037808016146,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7804164393)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«Юг-Полимер-Строй»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6150052802)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1066165051270,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6165131623)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«Ладога»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1089847218053,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7811408080)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1099847022098,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7842421010)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1057813277807,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7842327063)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1092221007438,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2221175919)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«Стройконсалтинг»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1089847248512,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7814411154)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1089847220044,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7841388659)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1089848039313,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7840402526)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управление-55»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1065406171247,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5406377007)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«Южная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1083435005763,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3435095740)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«Ралекс»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1023901955824,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3909024156)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«Арена»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1067847425381,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7816384001)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«Идеал-Стандарт»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1107847296699,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7841432001)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«Гуковдорстрой»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1026102023573,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6144008410)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«Евроазия»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1082635004980,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2634080419)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«Балтик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1047841012317,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7841013434)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«БЭСР»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1042201979940,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2222047966)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1085403010945,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5403212511)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«Галактика»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1089847247511,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7801472520)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«РосСтройИнжиниринг»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1097847322990,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7802485384)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