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инвестиционная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1037800102273,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7801242519)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1089848045540,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7804404327)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«ЭлектроЛюкс-7»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1089848007149,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7816452879)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«Петербургская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1037821063939,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7810165959)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«Тепломонтаж-сервис»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1037821022095,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7810153664)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1085903005561,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5903089601)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 N 60»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1037821057218,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7810158775)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«ТСК «Протэк»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1073443003941,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3443078234)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«Аксиома»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1107847057306,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7813465742)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«Строительство и Маркетинг - 2000»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1027200847035,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7224021602)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7813403312)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