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1033400011556,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«ДомИнвестСтрой»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1076027010036,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6027108362)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«Сибинтех-Проект»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1082221007725,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2221137568)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1027739480218,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7713295215)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«ПОЖЗАЩИТА»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7838396441)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