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«Унимакс»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1062221040551,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2221116215)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«КВОЛИТЕК»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1057810184354,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7801377883)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«МонтажТехСтрой -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1053900160555,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3908032475)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1077758945681,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7718660542)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«Модуль»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1062222003491,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2222054530)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«Телекомстрой»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1082223003103,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2223968247)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1105402003431,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5402524797)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ремонтно-строительное управление-7»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1105405006959,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5405410276)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1077847350041,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7814372346)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«Группа компаний «С-Дон-Юг»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1052309882350,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2317041730)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«Диамонд»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1086658014497,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6658311648)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1069659054410,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6659141773)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«МСК»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1047855124360,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7842305729)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«ПитерСтрой»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1089848020811,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7842397173)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«ТИС 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1057746135501,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7721523673)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«ТЕРМОИНЖСЕРВИС»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1035004902228,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5026009984)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«ТОУН»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1067847090365,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7811335258)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«ИСТА+»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1106193000649,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6161056887)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«АРСИДОН»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1086150001860,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6150056684)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1066150029659,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1066165051270,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6165131623)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фирма «Телевидение, связь, 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1026102221672,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6150005136)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«Полипласт»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1026102221309,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6150011965)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«СПК Аква-Вива»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1077847232605,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7804359963)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1076168003900,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6168017823)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«ПитерСтройМеталл»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1027804887220,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7810257670)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«Арбат. Инженерные сети»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1073905007692,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3905081675)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1073917002015,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3917033362)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«Элитстрой-Чемал»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1080411004960,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0411139866)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«Невский «СОЮЗ»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1089847083920,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7838402938)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«Бийское 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1022200553330,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2204010635)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1105405006200,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5405409552)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научно-техническое предприятие «Энергоконтроль»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1025801497710,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5838041477)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Тепличный комбинат «Новосибирский»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1075475004637,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5433168764)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«Обособленное предприятие «Свердловэнергоремонт»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1076625001617,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6625042485)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20.12.2010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20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