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7813403312)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1022201136231,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2222034269)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1022300632881,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2302038822)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«УПРАВЛЯЮЩАЯ КОМПАНИЯ ЖКХ «ЗЕЛЕНЫЙ ДОМ»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1033917002360,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3917018082)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1037700012822,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7736209043)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«Сибинтех»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1082221002951,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2221132859)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«Спецавтоматика-С»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1089848034924,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7801483289)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1077761625985,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7715671257)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1095405024835,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5405402660)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«Тенгри»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1030400733747,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0411110673)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«АлтайКапСтрой»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1082222003203,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2222072793)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«СтОИК»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1067847354706,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7841330899)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«Ремонтно-Строительное Управление «МАСТЕР»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1099847022912,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7813459795)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«МК-Альянс»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1079847050524,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7813367199)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«Ай Пи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7813465069)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«Дорожное эксплуатационное предприятие №219»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1050400677095,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0408011023)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«Строительно-монтажная компания «КИТ»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1102224000251,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2224138288)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«ВИКАР-Инжиниринг»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1067761783869,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7733590610)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«Импульс Промышленные Котельные»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1025002880154,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5024051405)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«Партнеринвестстрой»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1035008252840,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5041015206)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«ИнжинирингСтрой»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1064214012510,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4214026596)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1047796917420,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7722532078)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«ПромГазСервис»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1063525102244,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3525167358)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1042201922355,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2221065144)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«Академэлектромонтаж»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1037843038595,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7803064678)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«БАЛТИКОН»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1037843077711,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7825503760)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«Мехколоннастрой»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1026000902619,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6002007309)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5087746173884,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7725647207)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«СпецСтройСоюз»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1107847039211,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7838438719)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«ВитаСтрой»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1107847036769,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7842424758)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«Межрегиональная Компания «Транстелесеть»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1042202261848,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2225062120)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«Управление инвестициями»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1073917007328,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3916012842)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1079847102081,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7801454496)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«Рузбус»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1025007461214,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5073002520)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«СтройШат»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1035010102324,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5049013810)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«Строй-Авангард»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1089847343101,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7804398715)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«Вега-777»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1023901646922,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3907027916)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1079847060292,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7810087651)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«ЖелезоБетон»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1083925006802,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3917500754)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«Скат-Кескус»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1089847351220,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7839390210)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1063905083791,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3905078217)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«Тепломонтаж-сервис»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1037821022095,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7810153664)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«Седьмое СМУ»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1097847212330,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7810560902)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«Невское»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1027806077265,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7825688172)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«Теплоцентраль»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1025001628134,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5013006792)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1026103745744,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6165038737)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1077847210759,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7811370291)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«Птерро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1023902052954,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3912008179)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«Полет и 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1056758426372,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6729032192)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«Терра»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5067847541834,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7802372052)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1085406040103,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5406506326)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1065404013564,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5404267190)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