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«Теплотехник»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1026000966144,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6027041943)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«ВолгоПромМонтаж»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1073444011200,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3444151800)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Промышленно-строительная компания «ИнСтройПром»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1127847037702,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7810854701)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С-098-7810854701-06072012-920/2,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Промышленно-строительная компания «ИнСтройПром»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1127847037702,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7810854701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«Подрядчик»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1132204001709,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2204063595)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С-022-2204063595-05072013-991/1,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«Подрядчик»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1132204001709,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2204063595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«Технадзор»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1066164174570,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6164248604)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С-061-6164248604-25122009-099/3,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«Технадзор»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1066164174570,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6164248604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«ЭКСПОСТРОЙ»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1037800092670,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7801239403)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С-098-7801239403-25122009-094/4,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«ЭКСПОСТРОЙ»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1037800092670,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7801239403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«ПитерСтройМеталл»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1027804887220,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7810257670)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С-098-7810257670-21122009-046/4,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«ПитерСтройМеталл»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1027804887220,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7810257670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«СТРОЙ-МАКС»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1052305738990,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2310105261)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С-023-2310105261-29082011-852/2,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«СТРОЙ-МАКС»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1052305738990,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2310105261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1046122002453,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6122008061)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С-061-6122008061-21052010-621/4,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1046122002453,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6122008061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1077847599917,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7816423814)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С-098-7816423814-16122009-038/4,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1077847599917,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7816423814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