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«ИнвестСтратегия»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1145476087173,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5406785493)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Монтажная Компания «Гранит»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1092302002099,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2302062230)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