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«Балтимпульс»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1079847062987,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7842350810)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П-098-7842350810-20082010-258/3,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«Балтимпульс»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1079847062987,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7842350810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Проектная группа «Девали»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1105406014603,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5406569020)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П-054-5406569020-23082010-259/3,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Проектная группа «Девали»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1105406014603,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5406569020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1067746631920,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7743596812)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П-077-7743596812-11052011-330/2,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1067746631920,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7743596812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«Геостэл»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1107847033909,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7840426622)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П-098-7840426622-01092010-260/2,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«Геостэл»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1107847033909,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7840426622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«Инжиниринговая компания Гемини»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1105476006129,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5401336261)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П-054-5401336261-11082010-255/2,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«Инжиниринговая компания Гемини»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1105476006129,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5401336261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