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А-24/2012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19 сентября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сентября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сентября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сентября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сентября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сентября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сентября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сентября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сентября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ДПО "Ростовский центр технологий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сентября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ДПО "Ростовский центр технологий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сентября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19 сентября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